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78E7C" w14:textId="77777777" w:rsidR="00D92D98" w:rsidRDefault="00D92D98" w:rsidP="008A45FE">
      <w:pPr>
        <w:rPr>
          <w:color w:val="000000" w:themeColor="text1"/>
        </w:rPr>
      </w:pPr>
    </w:p>
    <w:p w14:paraId="70C5BB06" w14:textId="0C1C24DF" w:rsidR="00F009A2" w:rsidRDefault="00F009A2" w:rsidP="00F009A2">
      <w:pPr>
        <w:rPr>
          <w:color w:val="FF0000"/>
        </w:rPr>
      </w:pPr>
      <w:r>
        <w:rPr>
          <w:color w:val="FF0000"/>
        </w:rPr>
        <w:t>&lt;</w:t>
      </w:r>
      <w:r w:rsidRPr="003952F8">
        <w:rPr>
          <w:color w:val="FF0000"/>
        </w:rPr>
        <w:t xml:space="preserve">Package </w:t>
      </w:r>
      <w:r>
        <w:rPr>
          <w:color w:val="FF0000"/>
        </w:rPr>
        <w:t>6</w:t>
      </w:r>
      <w:r w:rsidRPr="003952F8">
        <w:rPr>
          <w:color w:val="FF0000"/>
        </w:rPr>
        <w:t xml:space="preserve">, Blog </w:t>
      </w:r>
      <w:r>
        <w:rPr>
          <w:color w:val="FF0000"/>
        </w:rPr>
        <w:t>2</w:t>
      </w:r>
      <w:r w:rsidRPr="003952F8">
        <w:rPr>
          <w:color w:val="FF0000"/>
        </w:rPr>
        <w:t xml:space="preserve">: </w:t>
      </w:r>
      <w:r>
        <w:rPr>
          <w:color w:val="FF0000"/>
        </w:rPr>
        <w:t>Use DCFSA for adults&gt;</w:t>
      </w:r>
    </w:p>
    <w:p w14:paraId="6CA4BFF3" w14:textId="77777777" w:rsidR="00F009A2" w:rsidRDefault="00F009A2" w:rsidP="00F009A2"/>
    <w:p w14:paraId="0764C757" w14:textId="7288DF72" w:rsidR="00F009A2" w:rsidRPr="008C19BF" w:rsidRDefault="00F009A2" w:rsidP="00F009A2">
      <w:pPr>
        <w:rPr>
          <w:color w:val="0070C0"/>
          <w:sz w:val="36"/>
          <w:szCs w:val="36"/>
        </w:rPr>
      </w:pPr>
      <w:r>
        <w:rPr>
          <w:color w:val="0070C0"/>
          <w:sz w:val="36"/>
          <w:szCs w:val="36"/>
        </w:rPr>
        <w:t>How to use your DCFSA for adult</w:t>
      </w:r>
      <w:r w:rsidR="00C71FA9">
        <w:rPr>
          <w:color w:val="0070C0"/>
          <w:sz w:val="36"/>
          <w:szCs w:val="36"/>
        </w:rPr>
        <w:t xml:space="preserve"> care</w:t>
      </w:r>
    </w:p>
    <w:p w14:paraId="40400409" w14:textId="77777777" w:rsidR="00F009A2" w:rsidRDefault="00F009A2" w:rsidP="00F009A2">
      <w:pPr>
        <w:rPr>
          <w:color w:val="000000" w:themeColor="text1"/>
        </w:rPr>
      </w:pPr>
    </w:p>
    <w:p w14:paraId="10F3E124" w14:textId="694D9966" w:rsidR="00F009A2" w:rsidRDefault="00F009A2" w:rsidP="00F009A2">
      <w:pPr>
        <w:rPr>
          <w:color w:val="000000" w:themeColor="text1"/>
        </w:rPr>
      </w:pPr>
      <w:r>
        <w:rPr>
          <w:color w:val="000000" w:themeColor="text1"/>
        </w:rPr>
        <w:t xml:space="preserve">Many members think of a Dependent Care Flexible Spending Account (DCFSA) as a benefit only available </w:t>
      </w:r>
      <w:r w:rsidR="00176290">
        <w:rPr>
          <w:color w:val="000000" w:themeColor="text1"/>
        </w:rPr>
        <w:t xml:space="preserve">to </w:t>
      </w:r>
      <w:r>
        <w:rPr>
          <w:color w:val="000000" w:themeColor="text1"/>
        </w:rPr>
        <w:t xml:space="preserve">those with children under the age of </w:t>
      </w:r>
      <w:r w:rsidR="00A812BE">
        <w:rPr>
          <w:color w:val="000000" w:themeColor="text1"/>
        </w:rPr>
        <w:t>14 (depending on your plan)</w:t>
      </w:r>
      <w:r>
        <w:rPr>
          <w:color w:val="000000" w:themeColor="text1"/>
        </w:rPr>
        <w:t xml:space="preserve">. </w:t>
      </w:r>
      <w:r w:rsidR="0032797B">
        <w:rPr>
          <w:color w:val="000000" w:themeColor="text1"/>
        </w:rPr>
        <w:t>But</w:t>
      </w:r>
      <w:r>
        <w:rPr>
          <w:color w:val="000000" w:themeColor="text1"/>
        </w:rPr>
        <w:t xml:space="preserve"> it’s also possible to use DCFSA dollars for expenses related to the care of an adult. Here’s what you need to know.</w:t>
      </w:r>
    </w:p>
    <w:p w14:paraId="7710CCC9" w14:textId="77777777" w:rsidR="00F009A2" w:rsidRDefault="00F009A2" w:rsidP="00F009A2">
      <w:pPr>
        <w:rPr>
          <w:color w:val="000000" w:themeColor="text1"/>
        </w:rPr>
      </w:pPr>
    </w:p>
    <w:p w14:paraId="5A8D2963" w14:textId="763C3CFC" w:rsidR="00F009A2" w:rsidRPr="008C19BF" w:rsidRDefault="00F009A2" w:rsidP="00F009A2">
      <w:pPr>
        <w:rPr>
          <w:color w:val="5B9BD5" w:themeColor="accent5"/>
          <w:sz w:val="32"/>
          <w:szCs w:val="32"/>
        </w:rPr>
      </w:pPr>
      <w:r>
        <w:rPr>
          <w:color w:val="5B9BD5" w:themeColor="accent5"/>
          <w:sz w:val="32"/>
          <w:szCs w:val="32"/>
        </w:rPr>
        <w:t>Which adults qualify for DCFSA dollars?</w:t>
      </w:r>
    </w:p>
    <w:p w14:paraId="7479AA3B" w14:textId="77777777" w:rsidR="00F009A2" w:rsidRDefault="00F009A2" w:rsidP="00F009A2">
      <w:pPr>
        <w:rPr>
          <w:color w:val="5B9BD5" w:themeColor="accent5"/>
          <w:sz w:val="26"/>
          <w:szCs w:val="26"/>
        </w:rPr>
      </w:pPr>
    </w:p>
    <w:p w14:paraId="6A3AB488" w14:textId="2606B392" w:rsidR="00F009A2" w:rsidRDefault="00F009A2" w:rsidP="00F009A2">
      <w:pPr>
        <w:rPr>
          <w:color w:val="000000" w:themeColor="text1"/>
        </w:rPr>
      </w:pPr>
      <w:r>
        <w:rPr>
          <w:color w:val="000000" w:themeColor="text1"/>
        </w:rPr>
        <w:t xml:space="preserve">Before using </w:t>
      </w:r>
      <w:r w:rsidR="00E22297">
        <w:rPr>
          <w:color w:val="000000" w:themeColor="text1"/>
        </w:rPr>
        <w:t>your DCFSA to pay for adult care costs, make sure the adult qualifies. In order to qualify, the adult needs to be:</w:t>
      </w:r>
    </w:p>
    <w:p w14:paraId="6A23B2D1" w14:textId="768FE067" w:rsidR="00E22297" w:rsidRDefault="00E22297" w:rsidP="00F009A2">
      <w:pPr>
        <w:rPr>
          <w:color w:val="000000" w:themeColor="text1"/>
        </w:rPr>
      </w:pPr>
    </w:p>
    <w:p w14:paraId="08A0BF84" w14:textId="6CA51282" w:rsidR="00E22297" w:rsidRDefault="00E22297" w:rsidP="00E22297">
      <w:pPr>
        <w:pStyle w:val="ListParagraph"/>
        <w:numPr>
          <w:ilvl w:val="0"/>
          <w:numId w:val="2"/>
        </w:numPr>
      </w:pPr>
      <w:r>
        <w:rPr>
          <w:b/>
          <w:bCs/>
        </w:rPr>
        <w:t xml:space="preserve">Someone you claim </w:t>
      </w:r>
      <w:r w:rsidR="0032797B">
        <w:rPr>
          <w:b/>
          <w:bCs/>
        </w:rPr>
        <w:t xml:space="preserve">as a dependent </w:t>
      </w:r>
      <w:r>
        <w:rPr>
          <w:b/>
          <w:bCs/>
        </w:rPr>
        <w:t>on your tax return</w:t>
      </w:r>
      <w:r w:rsidR="0032797B">
        <w:rPr>
          <w:b/>
          <w:bCs/>
        </w:rPr>
        <w:t>.</w:t>
      </w:r>
      <w:r>
        <w:t xml:space="preserve"> This can include your spouse, an adult child</w:t>
      </w:r>
      <w:r w:rsidR="0032797B">
        <w:t>,</w:t>
      </w:r>
      <w:r>
        <w:t xml:space="preserve"> a parent</w:t>
      </w:r>
      <w:r w:rsidR="0032797B">
        <w:t>,</w:t>
      </w:r>
      <w:r>
        <w:t xml:space="preserve"> or </w:t>
      </w:r>
      <w:r w:rsidR="0032797B">
        <w:t>an</w:t>
      </w:r>
      <w:r>
        <w:t>other adult who lives with you and meets the requirements that allow you to claim them as a dependent.</w:t>
      </w:r>
    </w:p>
    <w:p w14:paraId="0BDB1D84" w14:textId="625BDB58" w:rsidR="00E22297" w:rsidRDefault="00E22297" w:rsidP="00E22297">
      <w:pPr>
        <w:pStyle w:val="ListParagraph"/>
        <w:numPr>
          <w:ilvl w:val="0"/>
          <w:numId w:val="2"/>
        </w:numPr>
      </w:pPr>
      <w:r>
        <w:rPr>
          <w:b/>
          <w:bCs/>
        </w:rPr>
        <w:t>Unable to care for themselves</w:t>
      </w:r>
      <w:r w:rsidR="0032797B">
        <w:rPr>
          <w:b/>
          <w:bCs/>
        </w:rPr>
        <w:t>.</w:t>
      </w:r>
      <w:r>
        <w:t xml:space="preserve"> In addition to being on your tax return, the adult must be </w:t>
      </w:r>
      <w:r w:rsidR="0032797B">
        <w:t>un</w:t>
      </w:r>
      <w:r>
        <w:t>able to care for themselves, either physically or mentally (or both).</w:t>
      </w:r>
    </w:p>
    <w:p w14:paraId="5CFEFA41" w14:textId="3CD6ED81" w:rsidR="00E22297" w:rsidRDefault="00E22297" w:rsidP="00E22297"/>
    <w:p w14:paraId="1C6238B8" w14:textId="6102BAD0" w:rsidR="00E22297" w:rsidRDefault="00E22297" w:rsidP="00E22297">
      <w:r>
        <w:t xml:space="preserve">If the adult meets these criteria, you </w:t>
      </w:r>
      <w:r w:rsidR="006474DE">
        <w:t xml:space="preserve">may be able to </w:t>
      </w:r>
      <w:r>
        <w:t>use your DCFSA dollars to pay for their care.</w:t>
      </w:r>
    </w:p>
    <w:p w14:paraId="31EE18CE" w14:textId="163A7433" w:rsidR="00E22297" w:rsidRDefault="00E22297" w:rsidP="00E22297"/>
    <w:p w14:paraId="1FE72E92" w14:textId="52E19A78" w:rsidR="00E22297" w:rsidRPr="008C19BF" w:rsidRDefault="00E22297" w:rsidP="00E22297">
      <w:pPr>
        <w:rPr>
          <w:color w:val="5B9BD5" w:themeColor="accent5"/>
          <w:sz w:val="32"/>
          <w:szCs w:val="32"/>
        </w:rPr>
      </w:pPr>
      <w:r>
        <w:rPr>
          <w:color w:val="5B9BD5" w:themeColor="accent5"/>
          <w:sz w:val="32"/>
          <w:szCs w:val="32"/>
        </w:rPr>
        <w:t>What type</w:t>
      </w:r>
      <w:r w:rsidR="004D544C">
        <w:rPr>
          <w:color w:val="5B9BD5" w:themeColor="accent5"/>
          <w:sz w:val="32"/>
          <w:szCs w:val="32"/>
        </w:rPr>
        <w:t>s</w:t>
      </w:r>
      <w:r>
        <w:rPr>
          <w:color w:val="5B9BD5" w:themeColor="accent5"/>
          <w:sz w:val="32"/>
          <w:szCs w:val="32"/>
        </w:rPr>
        <w:t xml:space="preserve"> of care can be paid for with DCFSA dollars?</w:t>
      </w:r>
    </w:p>
    <w:p w14:paraId="02F25083" w14:textId="77777777" w:rsidR="00E22297" w:rsidRDefault="00E22297" w:rsidP="00E22297">
      <w:pPr>
        <w:rPr>
          <w:color w:val="5B9BD5" w:themeColor="accent5"/>
          <w:sz w:val="26"/>
          <w:szCs w:val="26"/>
        </w:rPr>
      </w:pPr>
    </w:p>
    <w:p w14:paraId="5B888871" w14:textId="40C5B8D2" w:rsidR="00E22297" w:rsidRDefault="00E22297" w:rsidP="00E22297">
      <w:pPr>
        <w:rPr>
          <w:color w:val="000000" w:themeColor="text1"/>
        </w:rPr>
      </w:pPr>
      <w:r>
        <w:rPr>
          <w:color w:val="000000" w:themeColor="text1"/>
        </w:rPr>
        <w:t xml:space="preserve">Once you establish that an adult qualifies, you can decide what care they will receive. Here are some of the types of care your DCFSA dollars </w:t>
      </w:r>
      <w:r w:rsidR="006474DE">
        <w:rPr>
          <w:color w:val="000000" w:themeColor="text1"/>
        </w:rPr>
        <w:t xml:space="preserve">may </w:t>
      </w:r>
      <w:r>
        <w:rPr>
          <w:color w:val="000000" w:themeColor="text1"/>
        </w:rPr>
        <w:t>cover.</w:t>
      </w:r>
    </w:p>
    <w:p w14:paraId="59516043" w14:textId="21E6C8E7" w:rsidR="00E22297" w:rsidRDefault="00E22297" w:rsidP="00E22297">
      <w:pPr>
        <w:rPr>
          <w:color w:val="000000" w:themeColor="text1"/>
        </w:rPr>
      </w:pPr>
    </w:p>
    <w:p w14:paraId="3A809A1A" w14:textId="42EFD5E9" w:rsidR="00E22297" w:rsidRDefault="00E22297" w:rsidP="00E22297">
      <w:pPr>
        <w:rPr>
          <w:color w:val="5B9BD5" w:themeColor="accent5"/>
          <w:sz w:val="28"/>
          <w:szCs w:val="28"/>
        </w:rPr>
      </w:pPr>
      <w:r>
        <w:rPr>
          <w:color w:val="5B9BD5" w:themeColor="accent5"/>
          <w:sz w:val="28"/>
          <w:szCs w:val="28"/>
        </w:rPr>
        <w:t>Elder daycare programs</w:t>
      </w:r>
    </w:p>
    <w:p w14:paraId="72A4BD45" w14:textId="77777777" w:rsidR="00E22297" w:rsidRDefault="00E22297" w:rsidP="00E22297">
      <w:pPr>
        <w:rPr>
          <w:color w:val="000000" w:themeColor="text1"/>
        </w:rPr>
      </w:pPr>
    </w:p>
    <w:p w14:paraId="2DB6023D" w14:textId="69AA31C9" w:rsidR="00E22297" w:rsidRDefault="00E22297" w:rsidP="00E22297">
      <w:r>
        <w:t>If you need to work and your dependent needs a place to be, it’s possible to send them to an elder daycare program. These programs are designed to provide the adult with basic care as well as activities to keep them busy while you’re at work.</w:t>
      </w:r>
    </w:p>
    <w:p w14:paraId="3DB8F6DB" w14:textId="7BE300ED" w:rsidR="00E22297" w:rsidRDefault="00E22297" w:rsidP="00E22297"/>
    <w:p w14:paraId="0D0C7E65" w14:textId="4144D9A4" w:rsidR="00E22297" w:rsidRDefault="00E22297" w:rsidP="00E22297">
      <w:pPr>
        <w:rPr>
          <w:color w:val="5B9BD5" w:themeColor="accent5"/>
          <w:sz w:val="28"/>
          <w:szCs w:val="28"/>
        </w:rPr>
      </w:pPr>
      <w:r>
        <w:rPr>
          <w:color w:val="5B9BD5" w:themeColor="accent5"/>
          <w:sz w:val="28"/>
          <w:szCs w:val="28"/>
        </w:rPr>
        <w:t>Custodial eldercare expenses</w:t>
      </w:r>
    </w:p>
    <w:p w14:paraId="3359938D" w14:textId="77777777" w:rsidR="00E22297" w:rsidRDefault="00E22297" w:rsidP="00E22297">
      <w:pPr>
        <w:rPr>
          <w:color w:val="000000" w:themeColor="text1"/>
        </w:rPr>
      </w:pPr>
    </w:p>
    <w:p w14:paraId="4EA78E57" w14:textId="7C502268" w:rsidR="00E22297" w:rsidRDefault="00E22297" w:rsidP="00E22297">
      <w:r>
        <w:t xml:space="preserve">Custodial care is designed to help your adult with daily living activities, including dressing, using the bathroom, bathing, grooming, and eating. These activities can be handled in your home or a facility and </w:t>
      </w:r>
      <w:r w:rsidR="006474DE">
        <w:t xml:space="preserve">could </w:t>
      </w:r>
      <w:r w:rsidR="003C5FB0">
        <w:t>be paid for with DCFSA dollars.</w:t>
      </w:r>
    </w:p>
    <w:p w14:paraId="5234DBED" w14:textId="50E5E4D8" w:rsidR="003C5FB0" w:rsidRDefault="003C5FB0" w:rsidP="00E22297"/>
    <w:p w14:paraId="0BA41920" w14:textId="7EA885BD" w:rsidR="003C5FB0" w:rsidRDefault="003C5FB0" w:rsidP="003C5FB0">
      <w:pPr>
        <w:rPr>
          <w:color w:val="5B9BD5" w:themeColor="accent5"/>
          <w:sz w:val="28"/>
          <w:szCs w:val="28"/>
        </w:rPr>
      </w:pPr>
      <w:r>
        <w:rPr>
          <w:color w:val="5B9BD5" w:themeColor="accent5"/>
          <w:sz w:val="28"/>
          <w:szCs w:val="28"/>
        </w:rPr>
        <w:t xml:space="preserve">Household employees </w:t>
      </w:r>
      <w:r w:rsidR="00176290">
        <w:rPr>
          <w:color w:val="5B9BD5" w:themeColor="accent5"/>
          <w:sz w:val="28"/>
          <w:szCs w:val="28"/>
        </w:rPr>
        <w:t xml:space="preserve">who </w:t>
      </w:r>
      <w:r>
        <w:rPr>
          <w:color w:val="5B9BD5" w:themeColor="accent5"/>
          <w:sz w:val="28"/>
          <w:szCs w:val="28"/>
        </w:rPr>
        <w:t>provide care</w:t>
      </w:r>
    </w:p>
    <w:p w14:paraId="31648664" w14:textId="77777777" w:rsidR="003C5FB0" w:rsidRDefault="003C5FB0" w:rsidP="003C5FB0">
      <w:pPr>
        <w:rPr>
          <w:color w:val="000000" w:themeColor="text1"/>
        </w:rPr>
      </w:pPr>
    </w:p>
    <w:p w14:paraId="4B07DE62" w14:textId="2944F2FB" w:rsidR="003C5FB0" w:rsidRDefault="003C5FB0" w:rsidP="003C5FB0">
      <w:r>
        <w:t xml:space="preserve">If you have a household employee </w:t>
      </w:r>
      <w:r w:rsidR="004D544C">
        <w:t xml:space="preserve">who </w:t>
      </w:r>
      <w:r>
        <w:t xml:space="preserve">provides care to the qualifying adult, your DCFSA dollars </w:t>
      </w:r>
      <w:r w:rsidR="006474DE">
        <w:t xml:space="preserve">may </w:t>
      </w:r>
      <w:r>
        <w:t xml:space="preserve">be used to cover their pay. </w:t>
      </w:r>
    </w:p>
    <w:p w14:paraId="62DB86FE" w14:textId="77777777" w:rsidR="003C5FB0" w:rsidRDefault="003C5FB0" w:rsidP="003C5FB0"/>
    <w:p w14:paraId="1E8912D4" w14:textId="74716D2C" w:rsidR="003C5FB0" w:rsidRDefault="003C5FB0" w:rsidP="003C5FB0">
      <w:r>
        <w:t>However, if the employee has duties in addition to caring for the adult, such as cleaning or cooking for you, pay for those activities can’t come from the DCFSA. Separate the duties for payment purposes and keep track of the time spent in actual care activities.</w:t>
      </w:r>
    </w:p>
    <w:p w14:paraId="53CF6685" w14:textId="3F718F1C" w:rsidR="003C5FB0" w:rsidRDefault="003C5FB0" w:rsidP="003C5FB0"/>
    <w:p w14:paraId="4FF9854E" w14:textId="19194F6F" w:rsidR="003C5FB0" w:rsidRPr="008C19BF" w:rsidRDefault="003C5FB0" w:rsidP="003C5FB0">
      <w:pPr>
        <w:rPr>
          <w:color w:val="5B9BD5" w:themeColor="accent5"/>
          <w:sz w:val="32"/>
          <w:szCs w:val="32"/>
        </w:rPr>
      </w:pPr>
      <w:r>
        <w:rPr>
          <w:color w:val="5B9BD5" w:themeColor="accent5"/>
          <w:sz w:val="32"/>
          <w:szCs w:val="32"/>
        </w:rPr>
        <w:t>How to pay for adult care with your DCFSA</w:t>
      </w:r>
    </w:p>
    <w:p w14:paraId="327BD928" w14:textId="77777777" w:rsidR="003C5FB0" w:rsidRDefault="003C5FB0" w:rsidP="003C5FB0">
      <w:pPr>
        <w:rPr>
          <w:color w:val="5B9BD5" w:themeColor="accent5"/>
          <w:sz w:val="26"/>
          <w:szCs w:val="26"/>
        </w:rPr>
      </w:pPr>
    </w:p>
    <w:p w14:paraId="028C0070" w14:textId="3E4C6EAE" w:rsidR="003C5FB0" w:rsidRDefault="003C5FB0" w:rsidP="003C5FB0">
      <w:pPr>
        <w:rPr>
          <w:color w:val="000000" w:themeColor="text1"/>
        </w:rPr>
      </w:pPr>
      <w:r>
        <w:rPr>
          <w:color w:val="000000" w:themeColor="text1"/>
        </w:rPr>
        <w:t xml:space="preserve">After establishing </w:t>
      </w:r>
      <w:r w:rsidR="0032797B">
        <w:rPr>
          <w:color w:val="000000" w:themeColor="text1"/>
        </w:rPr>
        <w:t>a care provider</w:t>
      </w:r>
      <w:r>
        <w:rPr>
          <w:color w:val="000000" w:themeColor="text1"/>
        </w:rPr>
        <w:t xml:space="preserve"> and </w:t>
      </w:r>
      <w:r w:rsidR="0032797B">
        <w:rPr>
          <w:color w:val="000000" w:themeColor="text1"/>
        </w:rPr>
        <w:t>that the expense is</w:t>
      </w:r>
      <w:r>
        <w:rPr>
          <w:color w:val="000000" w:themeColor="text1"/>
        </w:rPr>
        <w:t xml:space="preserve"> </w:t>
      </w:r>
      <w:hyperlink r:id="rId8" w:history="1">
        <w:r w:rsidRPr="003C5FB0">
          <w:rPr>
            <w:rStyle w:val="Hyperlink"/>
          </w:rPr>
          <w:t>eligible for your DCFSA</w:t>
        </w:r>
      </w:hyperlink>
      <w:r>
        <w:rPr>
          <w:color w:val="000000" w:themeColor="text1"/>
        </w:rPr>
        <w:t>, you need to make payments. In general, you can pay for adult care in the following ways:</w:t>
      </w:r>
    </w:p>
    <w:p w14:paraId="57097C5E" w14:textId="21F50ECC" w:rsidR="003C5FB0" w:rsidRDefault="003C5FB0" w:rsidP="003C5FB0">
      <w:pPr>
        <w:rPr>
          <w:color w:val="000000" w:themeColor="text1"/>
        </w:rPr>
      </w:pPr>
    </w:p>
    <w:p w14:paraId="51456A1F" w14:textId="552A631F" w:rsidR="003C5FB0" w:rsidRDefault="003C5FB0" w:rsidP="003C5FB0">
      <w:pPr>
        <w:pStyle w:val="ListParagraph"/>
        <w:numPr>
          <w:ilvl w:val="0"/>
          <w:numId w:val="3"/>
        </w:numPr>
      </w:pPr>
      <w:r>
        <w:rPr>
          <w:b/>
          <w:bCs/>
        </w:rPr>
        <w:t xml:space="preserve">Use your </w:t>
      </w:r>
      <w:r w:rsidR="00A812BE">
        <w:rPr>
          <w:b/>
          <w:bCs/>
        </w:rPr>
        <w:t xml:space="preserve">HealthEquity </w:t>
      </w:r>
      <w:r>
        <w:rPr>
          <w:b/>
          <w:bCs/>
        </w:rPr>
        <w:t>debit card</w:t>
      </w:r>
      <w:r w:rsidR="0032797B">
        <w:rPr>
          <w:b/>
          <w:bCs/>
        </w:rPr>
        <w:t>.</w:t>
      </w:r>
      <w:r w:rsidR="00A812BE" w:rsidRPr="00303B4B">
        <w:rPr>
          <w:vertAlign w:val="superscript"/>
        </w:rPr>
        <w:t>1</w:t>
      </w:r>
      <w:r>
        <w:t xml:space="preserve"> If you have a </w:t>
      </w:r>
      <w:r w:rsidR="00A812BE">
        <w:t xml:space="preserve">healthcare </w:t>
      </w:r>
      <w:r>
        <w:t>debit card, you can use it to pay for care services directly.</w:t>
      </w:r>
    </w:p>
    <w:p w14:paraId="0346F7AA" w14:textId="09777ED3" w:rsidR="00C71FA9" w:rsidRDefault="00C71FA9" w:rsidP="003C5FB0">
      <w:pPr>
        <w:pStyle w:val="ListParagraph"/>
        <w:numPr>
          <w:ilvl w:val="0"/>
          <w:numId w:val="3"/>
        </w:numPr>
      </w:pPr>
      <w:r>
        <w:rPr>
          <w:b/>
          <w:bCs/>
        </w:rPr>
        <w:t>Direct pay for providers</w:t>
      </w:r>
      <w:r w:rsidR="0032797B">
        <w:rPr>
          <w:b/>
          <w:bCs/>
        </w:rPr>
        <w:t>.</w:t>
      </w:r>
      <w:r>
        <w:t xml:space="preserve"> You can use your account to make direct payments to providers. When you get the bill, upload a copy and enter the </w:t>
      </w:r>
      <w:r w:rsidR="00F95049">
        <w:t xml:space="preserve">necessary </w:t>
      </w:r>
      <w:r>
        <w:t>information to have payment sent directly to the care provider.</w:t>
      </w:r>
    </w:p>
    <w:p w14:paraId="401A2271" w14:textId="73BC1E4E" w:rsidR="00C71FA9" w:rsidRDefault="003C5FB0" w:rsidP="00C71FA9">
      <w:pPr>
        <w:pStyle w:val="ListParagraph"/>
        <w:numPr>
          <w:ilvl w:val="0"/>
          <w:numId w:val="3"/>
        </w:numPr>
      </w:pPr>
      <w:r>
        <w:rPr>
          <w:b/>
          <w:bCs/>
        </w:rPr>
        <w:t>Set up recurring payments</w:t>
      </w:r>
      <w:r w:rsidR="00F95049">
        <w:rPr>
          <w:b/>
          <w:bCs/>
        </w:rPr>
        <w:t>.</w:t>
      </w:r>
      <w:r>
        <w:t xml:space="preserve"> For services or programs you know you’ll pay for regularly</w:t>
      </w:r>
      <w:r w:rsidR="004D544C">
        <w:t>,</w:t>
      </w:r>
      <w:r>
        <w:t xml:space="preserve"> it can make sense to set up recurring payments. </w:t>
      </w:r>
      <w:r w:rsidR="00C71FA9">
        <w:t>Log into your member account to enter the information.</w:t>
      </w:r>
    </w:p>
    <w:p w14:paraId="48E8D3B9" w14:textId="1AADE5D0" w:rsidR="00C71FA9" w:rsidRDefault="00C71FA9" w:rsidP="003C5FB0">
      <w:pPr>
        <w:pStyle w:val="ListParagraph"/>
        <w:numPr>
          <w:ilvl w:val="0"/>
          <w:numId w:val="3"/>
        </w:numPr>
      </w:pPr>
      <w:r>
        <w:rPr>
          <w:b/>
          <w:bCs/>
        </w:rPr>
        <w:t>Reimburse yourself for care costs</w:t>
      </w:r>
      <w:r w:rsidR="00F95049">
        <w:rPr>
          <w:b/>
          <w:bCs/>
        </w:rPr>
        <w:t>.</w:t>
      </w:r>
      <w:r>
        <w:t xml:space="preserve"> Upload receipts and verify other information to have the </w:t>
      </w:r>
      <w:r w:rsidR="00E76569">
        <w:t xml:space="preserve">eligible </w:t>
      </w:r>
      <w:r>
        <w:t xml:space="preserve">adult care costs reimbursed from your DCFSA. </w:t>
      </w:r>
    </w:p>
    <w:p w14:paraId="6A0F96CB" w14:textId="53BCEAA1" w:rsidR="00C71FA9" w:rsidRDefault="00C71FA9" w:rsidP="00C71FA9"/>
    <w:p w14:paraId="11820240" w14:textId="4F9F123D" w:rsidR="00C71FA9" w:rsidRDefault="00C71FA9" w:rsidP="00C71FA9">
      <w:r>
        <w:t xml:space="preserve">When using DCFSA dollars to pay for </w:t>
      </w:r>
      <w:r w:rsidR="00E76569">
        <w:t xml:space="preserve">eligible </w:t>
      </w:r>
      <w:r>
        <w:t>adult care, keep proper documentation. Save all your receipts, and if you’re using your DCFSA to pay a household employee, set up a system that allows you to itemize dependent care and other services so it’s easier to break out and document the money spent specifically on care.</w:t>
      </w:r>
    </w:p>
    <w:p w14:paraId="466A013C" w14:textId="6BBE2353" w:rsidR="00C71FA9" w:rsidRDefault="00C71FA9" w:rsidP="00C71FA9"/>
    <w:p w14:paraId="785E20C2" w14:textId="5E59029B" w:rsidR="00C71FA9" w:rsidRDefault="00C71FA9" w:rsidP="00C71FA9">
      <w:r>
        <w:t xml:space="preserve">Your DCFSA can provide you with a way to help you cover adult care costs with pre-tax dollars, providing some financial relief. </w:t>
      </w:r>
    </w:p>
    <w:p w14:paraId="0C03AC7C" w14:textId="03FCD6E2" w:rsidR="00C71FA9" w:rsidRDefault="00C71FA9" w:rsidP="00C71FA9"/>
    <w:p w14:paraId="15CC5AAB" w14:textId="0FB62A65" w:rsidR="00C71FA9" w:rsidRDefault="006474DE" w:rsidP="00C71FA9">
      <w:r w:rsidRPr="006474DE">
        <w:t>HealthEquity does not provide legal, tax</w:t>
      </w:r>
      <w:r w:rsidR="000F7F8E">
        <w:t>,</w:t>
      </w:r>
      <w:r w:rsidRPr="006474DE">
        <w:t xml:space="preserve"> or financial advice.</w:t>
      </w:r>
    </w:p>
    <w:p w14:paraId="6E7F8E55" w14:textId="2E84399B" w:rsidR="00A812BE" w:rsidRDefault="00A812BE" w:rsidP="00C71FA9"/>
    <w:p w14:paraId="7D398667" w14:textId="357DDFA2" w:rsidR="00A812BE" w:rsidRPr="00D45583" w:rsidRDefault="00A812BE" w:rsidP="00A812BE">
      <w:pPr>
        <w:rPr>
          <w:sz w:val="20"/>
          <w:szCs w:val="20"/>
        </w:rPr>
      </w:pPr>
      <w:r>
        <w:rPr>
          <w:sz w:val="20"/>
          <w:szCs w:val="20"/>
          <w:vertAlign w:val="superscript"/>
        </w:rPr>
        <w:t>1</w:t>
      </w:r>
      <w:r w:rsidRPr="00D45583">
        <w:rPr>
          <w:sz w:val="20"/>
          <w:szCs w:val="20"/>
        </w:rPr>
        <w:t>Your HealthEquity® Visa® Healthcare Card can be used at participating merchants who sell eligible healthcare products or services everywhere Visa debit cards are accepted. Your HealthEquity Visa Healthcare Card is issued by The Bancorp Bank pursuant to a license from Visa U.S.A. Inc. The Bancorp Bank; Member FDIC.</w:t>
      </w:r>
    </w:p>
    <w:p w14:paraId="22E627F6" w14:textId="77777777" w:rsidR="00A812BE" w:rsidRPr="00D45583" w:rsidRDefault="00A812BE" w:rsidP="00A812BE">
      <w:pPr>
        <w:rPr>
          <w:sz w:val="20"/>
          <w:szCs w:val="20"/>
        </w:rPr>
      </w:pPr>
      <w:r w:rsidRPr="00D45583">
        <w:rPr>
          <w:sz w:val="20"/>
          <w:szCs w:val="20"/>
        </w:rPr>
        <w:t>HealthEquity does not provide legal, tax</w:t>
      </w:r>
      <w:r>
        <w:rPr>
          <w:sz w:val="20"/>
          <w:szCs w:val="20"/>
        </w:rPr>
        <w:t>,</w:t>
      </w:r>
      <w:r w:rsidRPr="00D45583">
        <w:rPr>
          <w:sz w:val="20"/>
          <w:szCs w:val="20"/>
        </w:rPr>
        <w:t xml:space="preserve"> or financial advice. Always consult a professional when making life-changing decisions.</w:t>
      </w:r>
    </w:p>
    <w:p w14:paraId="21A2CA59" w14:textId="77777777" w:rsidR="00A812BE" w:rsidRDefault="00A812BE" w:rsidP="00C71FA9"/>
    <w:sectPr w:rsidR="00A812BE" w:rsidSect="001130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225AD" w14:textId="77777777" w:rsidR="00583841" w:rsidRDefault="00583841" w:rsidP="00D92D98">
      <w:r>
        <w:separator/>
      </w:r>
    </w:p>
  </w:endnote>
  <w:endnote w:type="continuationSeparator" w:id="0">
    <w:p w14:paraId="438E88CD" w14:textId="77777777" w:rsidR="00583841" w:rsidRDefault="00583841" w:rsidP="00D9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08891E" w14:textId="77777777" w:rsidR="00583841" w:rsidRDefault="00583841" w:rsidP="00D92D98">
      <w:r>
        <w:separator/>
      </w:r>
    </w:p>
  </w:footnote>
  <w:footnote w:type="continuationSeparator" w:id="0">
    <w:p w14:paraId="041C64CD" w14:textId="77777777" w:rsidR="00583841" w:rsidRDefault="00583841" w:rsidP="00D92D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F3ADD"/>
    <w:multiLevelType w:val="hybridMultilevel"/>
    <w:tmpl w:val="E4F4F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E57F6E"/>
    <w:multiLevelType w:val="hybridMultilevel"/>
    <w:tmpl w:val="0BF4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042E2D"/>
    <w:multiLevelType w:val="hybridMultilevel"/>
    <w:tmpl w:val="4116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144"/>
    <w:rsid w:val="000A05E3"/>
    <w:rsid w:val="000F7F8E"/>
    <w:rsid w:val="001130BD"/>
    <w:rsid w:val="00160281"/>
    <w:rsid w:val="00176290"/>
    <w:rsid w:val="00260299"/>
    <w:rsid w:val="00285987"/>
    <w:rsid w:val="002E623C"/>
    <w:rsid w:val="00303B4B"/>
    <w:rsid w:val="0032797B"/>
    <w:rsid w:val="00350144"/>
    <w:rsid w:val="00363718"/>
    <w:rsid w:val="00373F24"/>
    <w:rsid w:val="003C5FB0"/>
    <w:rsid w:val="00416F69"/>
    <w:rsid w:val="004D544C"/>
    <w:rsid w:val="004F2CD5"/>
    <w:rsid w:val="00500F34"/>
    <w:rsid w:val="00583841"/>
    <w:rsid w:val="005901CD"/>
    <w:rsid w:val="0060073E"/>
    <w:rsid w:val="00605B8B"/>
    <w:rsid w:val="0063324F"/>
    <w:rsid w:val="006474DE"/>
    <w:rsid w:val="00766E12"/>
    <w:rsid w:val="007B12F6"/>
    <w:rsid w:val="007C611B"/>
    <w:rsid w:val="007F5C98"/>
    <w:rsid w:val="00831446"/>
    <w:rsid w:val="008639D8"/>
    <w:rsid w:val="008A45FE"/>
    <w:rsid w:val="008E199A"/>
    <w:rsid w:val="00A812BE"/>
    <w:rsid w:val="00A95E21"/>
    <w:rsid w:val="00AA7415"/>
    <w:rsid w:val="00AE4B47"/>
    <w:rsid w:val="00AF2EB8"/>
    <w:rsid w:val="00AF3F34"/>
    <w:rsid w:val="00B72E2C"/>
    <w:rsid w:val="00C63F96"/>
    <w:rsid w:val="00C71FA9"/>
    <w:rsid w:val="00C81C82"/>
    <w:rsid w:val="00CB704C"/>
    <w:rsid w:val="00D87B20"/>
    <w:rsid w:val="00D92D98"/>
    <w:rsid w:val="00DC797F"/>
    <w:rsid w:val="00E22297"/>
    <w:rsid w:val="00E54F21"/>
    <w:rsid w:val="00E66B31"/>
    <w:rsid w:val="00E76569"/>
    <w:rsid w:val="00E9461A"/>
    <w:rsid w:val="00F009A2"/>
    <w:rsid w:val="00F95049"/>
    <w:rsid w:val="00FA1A0C"/>
    <w:rsid w:val="00FD7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87A69"/>
  <w14:defaultImageDpi w14:val="32767"/>
  <w15:chartTrackingRefBased/>
  <w15:docId w15:val="{FC6B615F-1793-8845-8711-B0B1BCA8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B1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2F6"/>
    <w:pPr>
      <w:ind w:left="720"/>
      <w:contextualSpacing/>
    </w:pPr>
  </w:style>
  <w:style w:type="character" w:styleId="Hyperlink">
    <w:name w:val="Hyperlink"/>
    <w:basedOn w:val="DefaultParagraphFont"/>
    <w:uiPriority w:val="99"/>
    <w:unhideWhenUsed/>
    <w:rsid w:val="008A45FE"/>
    <w:rPr>
      <w:color w:val="0563C1" w:themeColor="hyperlink"/>
      <w:u w:val="single"/>
    </w:rPr>
  </w:style>
  <w:style w:type="character" w:styleId="UnresolvedMention">
    <w:name w:val="Unresolved Mention"/>
    <w:basedOn w:val="DefaultParagraphFont"/>
    <w:uiPriority w:val="99"/>
    <w:rsid w:val="008A45FE"/>
    <w:rPr>
      <w:color w:val="605E5C"/>
      <w:shd w:val="clear" w:color="auto" w:fill="E1DFDD"/>
    </w:rPr>
  </w:style>
  <w:style w:type="character" w:styleId="FollowedHyperlink">
    <w:name w:val="FollowedHyperlink"/>
    <w:basedOn w:val="DefaultParagraphFont"/>
    <w:uiPriority w:val="99"/>
    <w:semiHidden/>
    <w:unhideWhenUsed/>
    <w:rsid w:val="00D87B20"/>
    <w:rPr>
      <w:color w:val="954F72" w:themeColor="followedHyperlink"/>
      <w:u w:val="single"/>
    </w:rPr>
  </w:style>
  <w:style w:type="character" w:styleId="CommentReference">
    <w:name w:val="annotation reference"/>
    <w:basedOn w:val="DefaultParagraphFont"/>
    <w:uiPriority w:val="99"/>
    <w:semiHidden/>
    <w:unhideWhenUsed/>
    <w:rsid w:val="00AF2EB8"/>
    <w:rPr>
      <w:sz w:val="16"/>
      <w:szCs w:val="16"/>
    </w:rPr>
  </w:style>
  <w:style w:type="paragraph" w:styleId="CommentText">
    <w:name w:val="annotation text"/>
    <w:basedOn w:val="Normal"/>
    <w:link w:val="CommentTextChar"/>
    <w:uiPriority w:val="99"/>
    <w:semiHidden/>
    <w:unhideWhenUsed/>
    <w:rsid w:val="00AF2EB8"/>
    <w:rPr>
      <w:sz w:val="20"/>
      <w:szCs w:val="20"/>
    </w:rPr>
  </w:style>
  <w:style w:type="character" w:customStyle="1" w:styleId="CommentTextChar">
    <w:name w:val="Comment Text Char"/>
    <w:basedOn w:val="DefaultParagraphFont"/>
    <w:link w:val="CommentText"/>
    <w:uiPriority w:val="99"/>
    <w:semiHidden/>
    <w:rsid w:val="00AF2EB8"/>
    <w:rPr>
      <w:sz w:val="20"/>
      <w:szCs w:val="20"/>
    </w:rPr>
  </w:style>
  <w:style w:type="paragraph" w:styleId="CommentSubject">
    <w:name w:val="annotation subject"/>
    <w:basedOn w:val="CommentText"/>
    <w:next w:val="CommentText"/>
    <w:link w:val="CommentSubjectChar"/>
    <w:uiPriority w:val="99"/>
    <w:semiHidden/>
    <w:unhideWhenUsed/>
    <w:rsid w:val="00AF2EB8"/>
    <w:rPr>
      <w:b/>
      <w:bCs/>
    </w:rPr>
  </w:style>
  <w:style w:type="character" w:customStyle="1" w:styleId="CommentSubjectChar">
    <w:name w:val="Comment Subject Char"/>
    <w:basedOn w:val="CommentTextChar"/>
    <w:link w:val="CommentSubject"/>
    <w:uiPriority w:val="99"/>
    <w:semiHidden/>
    <w:rsid w:val="00AF2EB8"/>
    <w:rPr>
      <w:b/>
      <w:bCs/>
      <w:sz w:val="20"/>
      <w:szCs w:val="20"/>
    </w:rPr>
  </w:style>
  <w:style w:type="paragraph" w:styleId="Revision">
    <w:name w:val="Revision"/>
    <w:hidden/>
    <w:uiPriority w:val="99"/>
    <w:semiHidden/>
    <w:rsid w:val="00B72E2C"/>
  </w:style>
  <w:style w:type="paragraph" w:styleId="BalloonText">
    <w:name w:val="Balloon Text"/>
    <w:basedOn w:val="Normal"/>
    <w:link w:val="BalloonTextChar"/>
    <w:uiPriority w:val="99"/>
    <w:semiHidden/>
    <w:unhideWhenUsed/>
    <w:rsid w:val="00D92D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D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healthequity.com/learn/dependent-care-expens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BCE0B-449A-4102-A9B4-808603BF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Marquit</dc:creator>
  <cp:keywords/>
  <dc:description/>
  <cp:lastModifiedBy>Jennifer Agee</cp:lastModifiedBy>
  <cp:revision>3</cp:revision>
  <dcterms:created xsi:type="dcterms:W3CDTF">2021-03-10T20:51:00Z</dcterms:created>
  <dcterms:modified xsi:type="dcterms:W3CDTF">2021-04-01T19:35:00Z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2021-02-05T23:46:01Z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dd6580e9-dcc6-4494-89f9-946ef0799650</vt:lpwstr>
  </property>
  <property fmtid="{D5CDD505-2E9C-101B-9397-08002B2CF9AE}" pid="8" name="MSIP_Label_3b23c674-de8a-426d-bc8b-74ad6594a910_ContentBits">
    <vt:lpwstr>0</vt:lpwstr>
  </property>
</Properties>
</file>